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D9ACD" w14:textId="0505DC7D" w:rsidR="006C1840" w:rsidRDefault="00023EC7" w:rsidP="00BF5089">
      <w:pPr>
        <w:jc w:val="center"/>
        <w:rPr>
          <w:rFonts w:ascii="Andika" w:hAnsi="Andika" w:cs="Andika"/>
          <w:i/>
          <w:iCs/>
        </w:rPr>
      </w:pPr>
      <w:r w:rsidRPr="00E612D3">
        <w:rPr>
          <w:rFonts w:ascii="Andika" w:hAnsi="Andika" w:cs="Andika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34D76BD" wp14:editId="305A76D8">
                <wp:simplePos x="0" y="0"/>
                <wp:positionH relativeFrom="column">
                  <wp:posOffset>-158115</wp:posOffset>
                </wp:positionH>
                <wp:positionV relativeFrom="paragraph">
                  <wp:posOffset>399415</wp:posOffset>
                </wp:positionV>
                <wp:extent cx="6934835" cy="5154930"/>
                <wp:effectExtent l="0" t="0" r="18415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835" cy="515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B6920" w14:textId="1D14B708" w:rsidR="004242B8" w:rsidRPr="004242B8" w:rsidRDefault="004242B8" w:rsidP="004242B8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Emile, the red alien from </w:t>
                            </w:r>
                            <w:proofErr w:type="spellStart"/>
                            <w:r w:rsidRPr="004242B8">
                              <w:rPr>
                                <w:rFonts w:ascii="Andika" w:hAnsi="Andika" w:cs="Andika"/>
                              </w:rPr>
                              <w:t>Mathedonia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, and his purple robot friend, Aimee, embarked on an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galactic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adventure. They were on a mission to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act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with various beings from different planets. Their first stop was the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city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hub of </w:t>
                            </w:r>
                            <w:proofErr w:type="spellStart"/>
                            <w:r w:rsidRPr="004242B8">
                              <w:rPr>
                                <w:rFonts w:ascii="Andika" w:hAnsi="Andika" w:cs="Andika"/>
                              </w:rPr>
                              <w:t>Zentoria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, where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related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species coexisted in harmony.</w:t>
                            </w:r>
                          </w:p>
                          <w:p w14:paraId="3D73F216" w14:textId="009816E0" w:rsidR="004242B8" w:rsidRPr="004242B8" w:rsidRDefault="004242B8" w:rsidP="004242B8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As they explored </w:t>
                            </w:r>
                            <w:proofErr w:type="spellStart"/>
                            <w:r w:rsidRPr="004242B8">
                              <w:rPr>
                                <w:rFonts w:ascii="Andika" w:hAnsi="Andika" w:cs="Andika"/>
                              </w:rPr>
                              <w:t>Zentoria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, they encountered an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national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gathering of extraterrestrial creatures. Emile, with his friendly 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demeanour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, was eager to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view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face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with the diverse inhabitants. Aimee, being a sophisticated robot, had a knack for creating an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stellar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network to facilitate communication.</w:t>
                            </w:r>
                          </w:p>
                          <w:p w14:paraId="3B04E987" w14:textId="639769BB" w:rsidR="004242B8" w:rsidRPr="004242B8" w:rsidRDefault="004242B8" w:rsidP="004242B8">
                            <w:pPr>
                              <w:rPr>
                                <w:rFonts w:ascii="Andika" w:hAnsi="Andika" w:cs="Andika"/>
                              </w:rPr>
                            </w:pPr>
                            <w:proofErr w:type="gramStart"/>
                            <w:r w:rsidRPr="004242B8">
                              <w:rPr>
                                <w:rFonts w:ascii="Andika" w:hAnsi="Andika" w:cs="Andika"/>
                              </w:rPr>
                              <w:t>In the midst of</w:t>
                            </w:r>
                            <w:proofErr w:type="gram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their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galactic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journey, they noticed an unusual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val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signal emanating from a distant planet. Intrigued, Emile and Aimee decided to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cept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the signal, suspecting it might hold valuable information. However, their attempts to decode the message were constantly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rupted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by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ference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from cosmic disturbances.</w:t>
                            </w:r>
                          </w:p>
                          <w:p w14:paraId="2DE83AD1" w14:textId="4BFA20BD" w:rsidR="004242B8" w:rsidRPr="004242B8" w:rsidRDefault="004242B8" w:rsidP="004242B8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Undeterred, the dynamic duo persevered, utilizing Aimee's advanced technology to filter out the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ference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. Soon, they uncovered a hidden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planetary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message that revealed a secret alliance between various galaxies. Emile and Aimee realized that their mission had taken an unexpected turn towards safeguarding the peace of the cosmos.</w:t>
                            </w:r>
                          </w:p>
                          <w:p w14:paraId="79833B27" w14:textId="16ABA40C" w:rsidR="00B5262D" w:rsidRPr="00B5262D" w:rsidRDefault="004242B8" w:rsidP="004242B8">
                            <w:pPr>
                              <w:rPr>
                                <w:rFonts w:ascii="Andika" w:hAnsi="Andika" w:cs="Andika"/>
                              </w:rPr>
                            </w:pPr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With newfound knowledge, Emile and Aimee continued their journey, becoming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stellar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ambassadors promoting understanding and cooperation among the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galactic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community. The red and purple companions, from the planet </w:t>
                            </w:r>
                            <w:proofErr w:type="spellStart"/>
                            <w:r w:rsidRPr="004242B8">
                              <w:rPr>
                                <w:rFonts w:ascii="Andika" w:hAnsi="Andika" w:cs="Andika"/>
                              </w:rPr>
                              <w:t>Mathedonia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, showcased the importance of positive </w:t>
                            </w:r>
                            <w:proofErr w:type="spellStart"/>
                            <w:r>
                              <w:rPr>
                                <w:rFonts w:ascii="Andika" w:hAnsi="Andika" w:cs="Andika"/>
                              </w:rPr>
                              <w:t>intar</w:t>
                            </w:r>
                            <w:r w:rsidRPr="004242B8">
                              <w:rPr>
                                <w:rFonts w:ascii="Andika" w:hAnsi="Andika" w:cs="Andika"/>
                              </w:rPr>
                              <w:t>action</w:t>
                            </w:r>
                            <w:proofErr w:type="spellEnd"/>
                            <w:r w:rsidRPr="004242B8">
                              <w:rPr>
                                <w:rFonts w:ascii="Andika" w:hAnsi="Andika" w:cs="Andika"/>
                              </w:rPr>
                              <w:t xml:space="preserve"> and collaboration in the vast expanse of the universe.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D76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45pt;margin-top:31.45pt;width:546.05pt;height:405.9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">
                <v:textbox>
                  <w:txbxContent>
                    <w:p w14:paraId="2CCB6920" w14:textId="1D14B708" w:rsidR="004242B8" w:rsidRPr="004242B8" w:rsidRDefault="004242B8" w:rsidP="004242B8">
                      <w:pPr>
                        <w:rPr>
                          <w:rFonts w:ascii="Andika" w:hAnsi="Andika" w:cs="Andika"/>
                        </w:rPr>
                      </w:pPr>
                      <w:r w:rsidRPr="004242B8">
                        <w:rPr>
                          <w:rFonts w:ascii="Andika" w:hAnsi="Andika" w:cs="Andika"/>
                        </w:rPr>
                        <w:t xml:space="preserve">Emile, the red alien from </w:t>
                      </w:r>
                      <w:proofErr w:type="spellStart"/>
                      <w:r w:rsidRPr="004242B8">
                        <w:rPr>
                          <w:rFonts w:ascii="Andika" w:hAnsi="Andika" w:cs="Andika"/>
                        </w:rPr>
                        <w:t>Mathedonia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, and his purple robot friend, Aimee, embarked on an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galactic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adventure. They were on a mission to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act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with various beings from different planets. Their first stop was the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city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hub of </w:t>
                      </w:r>
                      <w:proofErr w:type="spellStart"/>
                      <w:r w:rsidRPr="004242B8">
                        <w:rPr>
                          <w:rFonts w:ascii="Andika" w:hAnsi="Andika" w:cs="Andika"/>
                        </w:rPr>
                        <w:t>Zentoria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, where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related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species coexisted in harmony.</w:t>
                      </w:r>
                    </w:p>
                    <w:p w14:paraId="3D73F216" w14:textId="009816E0" w:rsidR="004242B8" w:rsidRPr="004242B8" w:rsidRDefault="004242B8" w:rsidP="004242B8">
                      <w:pPr>
                        <w:rPr>
                          <w:rFonts w:ascii="Andika" w:hAnsi="Andika" w:cs="Andika"/>
                        </w:rPr>
                      </w:pPr>
                      <w:r w:rsidRPr="004242B8">
                        <w:rPr>
                          <w:rFonts w:ascii="Andika" w:hAnsi="Andika" w:cs="Andika"/>
                        </w:rPr>
                        <w:t xml:space="preserve">As they explored </w:t>
                      </w:r>
                      <w:proofErr w:type="spellStart"/>
                      <w:r w:rsidRPr="004242B8">
                        <w:rPr>
                          <w:rFonts w:ascii="Andika" w:hAnsi="Andika" w:cs="Andika"/>
                        </w:rPr>
                        <w:t>Zentoria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, they encountered an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national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gathering of extraterrestrial creatures. Emile, with his friendly </w:t>
                      </w:r>
                      <w:r w:rsidRPr="004242B8">
                        <w:rPr>
                          <w:rFonts w:ascii="Andika" w:hAnsi="Andika" w:cs="Andika"/>
                        </w:rPr>
                        <w:t>demeanour</w:t>
                      </w:r>
                      <w:r w:rsidRPr="004242B8">
                        <w:rPr>
                          <w:rFonts w:ascii="Andika" w:hAnsi="Andika" w:cs="Andika"/>
                        </w:rPr>
                        <w:t xml:space="preserve">, was eager to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view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face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with the diverse inhabitants. Aimee, being a sophisticated robot, had a knack for creating an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stellar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network to facilitate communication.</w:t>
                      </w:r>
                    </w:p>
                    <w:p w14:paraId="3B04E987" w14:textId="639769BB" w:rsidR="004242B8" w:rsidRPr="004242B8" w:rsidRDefault="004242B8" w:rsidP="004242B8">
                      <w:pPr>
                        <w:rPr>
                          <w:rFonts w:ascii="Andika" w:hAnsi="Andika" w:cs="Andika"/>
                        </w:rPr>
                      </w:pPr>
                      <w:proofErr w:type="gramStart"/>
                      <w:r w:rsidRPr="004242B8">
                        <w:rPr>
                          <w:rFonts w:ascii="Andika" w:hAnsi="Andika" w:cs="Andika"/>
                        </w:rPr>
                        <w:t>In the midst of</w:t>
                      </w:r>
                      <w:proofErr w:type="gramEnd"/>
                      <w:r w:rsidRPr="004242B8">
                        <w:rPr>
                          <w:rFonts w:ascii="Andika" w:hAnsi="Andika" w:cs="Andika"/>
                        </w:rPr>
                        <w:t xml:space="preserve"> their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galactic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journey, they noticed an unusual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val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signal emanating from a distant planet. Intrigued, Emile and Aimee decided to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cept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the signal, suspecting it might hold valuable information. However, their attempts to decode the message were constantly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rupted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by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ference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from cosmic disturbances.</w:t>
                      </w:r>
                    </w:p>
                    <w:p w14:paraId="2DE83AD1" w14:textId="4BFA20BD" w:rsidR="004242B8" w:rsidRPr="004242B8" w:rsidRDefault="004242B8" w:rsidP="004242B8">
                      <w:pPr>
                        <w:rPr>
                          <w:rFonts w:ascii="Andika" w:hAnsi="Andika" w:cs="Andika"/>
                        </w:rPr>
                      </w:pPr>
                      <w:r w:rsidRPr="004242B8">
                        <w:rPr>
                          <w:rFonts w:ascii="Andika" w:hAnsi="Andika" w:cs="Andika"/>
                        </w:rPr>
                        <w:t xml:space="preserve">Undeterred, the dynamic duo persevered, utilizing Aimee's advanced technology to filter out the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ference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. Soon, they uncovered a hidden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planetary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message that revealed a secret alliance between various galaxies. Emile and Aimee realized that their mission had taken an unexpected turn towards safeguarding the peace of the cosmos.</w:t>
                      </w:r>
                    </w:p>
                    <w:p w14:paraId="79833B27" w14:textId="16ABA40C" w:rsidR="00B5262D" w:rsidRPr="00B5262D" w:rsidRDefault="004242B8" w:rsidP="004242B8">
                      <w:pPr>
                        <w:rPr>
                          <w:rFonts w:ascii="Andika" w:hAnsi="Andika" w:cs="Andika"/>
                        </w:rPr>
                      </w:pPr>
                      <w:r w:rsidRPr="004242B8">
                        <w:rPr>
                          <w:rFonts w:ascii="Andika" w:hAnsi="Andika" w:cs="Andika"/>
                        </w:rPr>
                        <w:t xml:space="preserve">With newfound knowledge, Emile and Aimee continued their journey, becoming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stellar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ambassadors promoting understanding and cooperation among the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galactic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community. The red and purple companions, from the planet </w:t>
                      </w:r>
                      <w:proofErr w:type="spellStart"/>
                      <w:r w:rsidRPr="004242B8">
                        <w:rPr>
                          <w:rFonts w:ascii="Andika" w:hAnsi="Andika" w:cs="Andika"/>
                        </w:rPr>
                        <w:t>Mathedonia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, showcased the importance of positive </w:t>
                      </w:r>
                      <w:proofErr w:type="spellStart"/>
                      <w:r>
                        <w:rPr>
                          <w:rFonts w:ascii="Andika" w:hAnsi="Andika" w:cs="Andika"/>
                        </w:rPr>
                        <w:t>intar</w:t>
                      </w:r>
                      <w:r w:rsidRPr="004242B8">
                        <w:rPr>
                          <w:rFonts w:ascii="Andika" w:hAnsi="Andika" w:cs="Andika"/>
                        </w:rPr>
                        <w:t>action</w:t>
                      </w:r>
                      <w:proofErr w:type="spellEnd"/>
                      <w:r w:rsidRPr="004242B8">
                        <w:rPr>
                          <w:rFonts w:ascii="Andika" w:hAnsi="Andika" w:cs="Andika"/>
                        </w:rPr>
                        <w:t xml:space="preserve"> and collaboration in the vast expanse of the universe.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12D3">
        <w:rPr>
          <w:rFonts w:ascii="Andika" w:hAnsi="Andika" w:cs="Andika"/>
          <w:i/>
          <w:iCs/>
        </w:rPr>
        <w:t xml:space="preserve">Underline </w:t>
      </w:r>
      <w:r w:rsidR="00E612D3" w:rsidRPr="00E612D3">
        <w:rPr>
          <w:rFonts w:ascii="Andika" w:hAnsi="Andika" w:cs="Andika"/>
          <w:i/>
          <w:iCs/>
        </w:rPr>
        <w:t xml:space="preserve">the </w:t>
      </w:r>
      <w:r w:rsidR="00E2030A">
        <w:rPr>
          <w:rFonts w:ascii="Andika" w:hAnsi="Andika" w:cs="Andika"/>
          <w:i/>
          <w:iCs/>
        </w:rPr>
        <w:t>1</w:t>
      </w:r>
      <w:r w:rsidR="004242B8">
        <w:rPr>
          <w:rFonts w:ascii="Andika" w:hAnsi="Andika" w:cs="Andika"/>
          <w:i/>
          <w:iCs/>
        </w:rPr>
        <w:t>8</w:t>
      </w:r>
      <w:r w:rsidR="004911AA">
        <w:rPr>
          <w:rFonts w:ascii="Andika" w:hAnsi="Andika" w:cs="Andika"/>
          <w:i/>
          <w:iCs/>
        </w:rPr>
        <w:t xml:space="preserve"> </w:t>
      </w:r>
      <w:r w:rsidR="009F683F">
        <w:rPr>
          <w:rFonts w:ascii="Andika" w:hAnsi="Andika" w:cs="Andika"/>
          <w:i/>
          <w:iCs/>
        </w:rPr>
        <w:t>spelling</w:t>
      </w:r>
      <w:r w:rsidR="0093011E">
        <w:rPr>
          <w:rFonts w:ascii="Andika" w:hAnsi="Andika" w:cs="Andika"/>
          <w:i/>
          <w:iCs/>
        </w:rPr>
        <w:t xml:space="preserve"> </w:t>
      </w:r>
      <w:r w:rsidR="00E612D3" w:rsidRPr="00E612D3">
        <w:rPr>
          <w:rFonts w:ascii="Andika" w:hAnsi="Andika" w:cs="Andika"/>
          <w:i/>
          <w:iCs/>
        </w:rPr>
        <w:t>mistakes in the below story and write out the correct spelling</w:t>
      </w:r>
      <w:r w:rsidR="00E612D3">
        <w:rPr>
          <w:rFonts w:ascii="Andika" w:hAnsi="Andika" w:cs="Andika"/>
          <w:i/>
          <w:iCs/>
        </w:rPr>
        <w:t xml:space="preserve"> on this sheet.</w:t>
      </w:r>
    </w:p>
    <w:p w14:paraId="0EEB58FA" w14:textId="77777777" w:rsidR="00C355BD" w:rsidRDefault="00C355BD" w:rsidP="00BF5089">
      <w:pPr>
        <w:jc w:val="center"/>
        <w:rPr>
          <w:rFonts w:ascii="Andika" w:hAnsi="Andika" w:cs="Andika"/>
          <w:i/>
          <w:iCs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081"/>
        <w:gridCol w:w="2110"/>
        <w:gridCol w:w="2041"/>
        <w:gridCol w:w="2266"/>
        <w:gridCol w:w="1987"/>
      </w:tblGrid>
      <w:tr w:rsidR="00E469B9" w14:paraId="7C99CD2B" w14:textId="77777777" w:rsidTr="00C24A63">
        <w:tc>
          <w:tcPr>
            <w:tcW w:w="2081" w:type="dxa"/>
            <w:tcBorders>
              <w:bottom w:val="single" w:sz="4" w:space="0" w:color="auto"/>
            </w:tcBorders>
          </w:tcPr>
          <w:p w14:paraId="3D97036D" w14:textId="2F0852C7" w:rsidR="00E469B9" w:rsidRDefault="00E469B9" w:rsidP="00E469B9">
            <w:r>
              <w:t xml:space="preserve">1. 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14:paraId="2D97CC7A" w14:textId="77777777" w:rsidR="00E469B9" w:rsidRDefault="00E469B9" w:rsidP="00E469B9">
            <w:r>
              <w:t>2.</w:t>
            </w:r>
          </w:p>
          <w:p w14:paraId="6802CE21" w14:textId="77777777" w:rsidR="00E469B9" w:rsidRDefault="00E469B9" w:rsidP="00E469B9"/>
          <w:p w14:paraId="656B3B1F" w14:textId="6C929C18" w:rsidR="00E469B9" w:rsidRDefault="00E469B9" w:rsidP="00E469B9"/>
        </w:tc>
        <w:tc>
          <w:tcPr>
            <w:tcW w:w="2041" w:type="dxa"/>
            <w:tcBorders>
              <w:bottom w:val="single" w:sz="4" w:space="0" w:color="auto"/>
            </w:tcBorders>
          </w:tcPr>
          <w:p w14:paraId="65EE7A67" w14:textId="2B62C754" w:rsidR="00E469B9" w:rsidRDefault="00E469B9" w:rsidP="00E469B9">
            <w:r>
              <w:t xml:space="preserve">3.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DC7FBE3" w14:textId="0785AB19" w:rsidR="00E469B9" w:rsidRDefault="00E469B9" w:rsidP="00E469B9">
            <w:r>
              <w:t>4.</w:t>
            </w:r>
          </w:p>
        </w:tc>
        <w:tc>
          <w:tcPr>
            <w:tcW w:w="1987" w:type="dxa"/>
            <w:tcBorders>
              <w:bottom w:val="single" w:sz="4" w:space="0" w:color="auto"/>
              <w:right w:val="single" w:sz="4" w:space="0" w:color="auto"/>
            </w:tcBorders>
          </w:tcPr>
          <w:p w14:paraId="5C171552" w14:textId="3AAED0D6" w:rsidR="00E469B9" w:rsidRDefault="00E469B9" w:rsidP="00E469B9">
            <w:r>
              <w:t>5.</w:t>
            </w:r>
          </w:p>
        </w:tc>
      </w:tr>
      <w:tr w:rsidR="00C060B7" w14:paraId="338028D0" w14:textId="77777777" w:rsidTr="004242B8">
        <w:tc>
          <w:tcPr>
            <w:tcW w:w="2081" w:type="dxa"/>
            <w:tcBorders>
              <w:right w:val="single" w:sz="4" w:space="0" w:color="auto"/>
            </w:tcBorders>
          </w:tcPr>
          <w:p w14:paraId="48E100BD" w14:textId="78FF6B19" w:rsidR="00C060B7" w:rsidRDefault="00C060B7" w:rsidP="00E469B9">
            <w:r>
              <w:t>6.</w:t>
            </w:r>
          </w:p>
        </w:tc>
        <w:tc>
          <w:tcPr>
            <w:tcW w:w="2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C975" w14:textId="53AC8CB8" w:rsidR="00C060B7" w:rsidRDefault="00C060B7" w:rsidP="00E469B9">
            <w:r>
              <w:t>7.</w:t>
            </w:r>
          </w:p>
          <w:p w14:paraId="064AEE72" w14:textId="77777777" w:rsidR="00C060B7" w:rsidRDefault="00C060B7" w:rsidP="00E469B9"/>
          <w:p w14:paraId="7AE63DBB" w14:textId="77777777" w:rsidR="00C060B7" w:rsidRDefault="00C060B7" w:rsidP="00E469B9"/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9B39" w14:textId="014443CE" w:rsidR="00C060B7" w:rsidRDefault="00C060B7" w:rsidP="00E469B9">
            <w:r>
              <w:t>8.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0874" w14:textId="5E154487" w:rsidR="00C060B7" w:rsidRDefault="00E2030A" w:rsidP="00E469B9">
            <w:r>
              <w:t>9.</w:t>
            </w:r>
          </w:p>
          <w:p w14:paraId="6DDB1E6D" w14:textId="6F888D8B" w:rsidR="00C060B7" w:rsidRDefault="00C060B7" w:rsidP="00E469B9"/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60F1" w14:textId="75B4A3E0" w:rsidR="00C060B7" w:rsidRDefault="00E2030A" w:rsidP="00E469B9">
            <w:r>
              <w:t>10.</w:t>
            </w:r>
          </w:p>
          <w:p w14:paraId="0A2B203B" w14:textId="107026D5" w:rsidR="00C060B7" w:rsidRDefault="00C060B7" w:rsidP="00E469B9"/>
        </w:tc>
      </w:tr>
      <w:tr w:rsidR="004911AA" w14:paraId="0E9829D4" w14:textId="77777777" w:rsidTr="004242B8">
        <w:tc>
          <w:tcPr>
            <w:tcW w:w="2081" w:type="dxa"/>
            <w:tcBorders>
              <w:right w:val="single" w:sz="4" w:space="0" w:color="auto"/>
            </w:tcBorders>
          </w:tcPr>
          <w:p w14:paraId="33A73215" w14:textId="77777777" w:rsidR="004911AA" w:rsidRDefault="004911AA" w:rsidP="00E469B9">
            <w:r>
              <w:t>11.</w:t>
            </w:r>
          </w:p>
          <w:p w14:paraId="1CF5B264" w14:textId="77777777" w:rsidR="004911AA" w:rsidRDefault="004911AA" w:rsidP="00E469B9"/>
          <w:p w14:paraId="02CD92B1" w14:textId="29BE3949" w:rsidR="004911AA" w:rsidRDefault="004911AA" w:rsidP="00E469B9"/>
        </w:tc>
        <w:tc>
          <w:tcPr>
            <w:tcW w:w="2110" w:type="dxa"/>
            <w:tcBorders>
              <w:left w:val="single" w:sz="4" w:space="0" w:color="auto"/>
              <w:right w:val="single" w:sz="4" w:space="0" w:color="auto"/>
            </w:tcBorders>
          </w:tcPr>
          <w:p w14:paraId="2381384C" w14:textId="7A487A38" w:rsidR="004911AA" w:rsidRDefault="0010334C" w:rsidP="00E469B9">
            <w:r>
              <w:t>12.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14:paraId="0D5E95F9" w14:textId="7CF3751A" w:rsidR="004911AA" w:rsidRDefault="0010334C" w:rsidP="00E469B9">
            <w:r>
              <w:t>13.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5415" w14:textId="2467703B" w:rsidR="004911AA" w:rsidRDefault="0010334C" w:rsidP="00E469B9">
            <w:r>
              <w:t>14.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14:paraId="2F5976CA" w14:textId="7A60DCCD" w:rsidR="004911AA" w:rsidRDefault="004242B8" w:rsidP="00E469B9">
            <w:r>
              <w:t>15.</w:t>
            </w:r>
          </w:p>
        </w:tc>
      </w:tr>
      <w:tr w:rsidR="004242B8" w14:paraId="77EE4A7B" w14:textId="77777777" w:rsidTr="004242B8">
        <w:tc>
          <w:tcPr>
            <w:tcW w:w="2081" w:type="dxa"/>
            <w:tcBorders>
              <w:right w:val="single" w:sz="4" w:space="0" w:color="auto"/>
            </w:tcBorders>
          </w:tcPr>
          <w:p w14:paraId="1F8EDDA9" w14:textId="77777777" w:rsidR="004242B8" w:rsidRDefault="004242B8" w:rsidP="00E469B9">
            <w:r>
              <w:t>16.</w:t>
            </w:r>
          </w:p>
          <w:p w14:paraId="41D1FD31" w14:textId="77777777" w:rsidR="004242B8" w:rsidRDefault="004242B8" w:rsidP="00E469B9"/>
          <w:p w14:paraId="20CCB84A" w14:textId="2BBB3A2B" w:rsidR="004242B8" w:rsidRDefault="004242B8" w:rsidP="00E469B9"/>
        </w:tc>
        <w:tc>
          <w:tcPr>
            <w:tcW w:w="2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B5FD" w14:textId="55EA8A86" w:rsidR="004242B8" w:rsidRDefault="004242B8" w:rsidP="00E469B9">
            <w:r>
              <w:t>17.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9336" w14:textId="1CC023B4" w:rsidR="004242B8" w:rsidRDefault="004242B8" w:rsidP="00E469B9">
            <w:r>
              <w:t>18.</w:t>
            </w:r>
          </w:p>
        </w:tc>
        <w:tc>
          <w:tcPr>
            <w:tcW w:w="2266" w:type="dxa"/>
            <w:tcBorders>
              <w:left w:val="single" w:sz="4" w:space="0" w:color="auto"/>
              <w:bottom w:val="nil"/>
              <w:right w:val="nil"/>
            </w:tcBorders>
          </w:tcPr>
          <w:p w14:paraId="0A5C5277" w14:textId="77777777" w:rsidR="004242B8" w:rsidRDefault="004242B8" w:rsidP="00E469B9"/>
        </w:tc>
        <w:tc>
          <w:tcPr>
            <w:tcW w:w="1987" w:type="dxa"/>
            <w:tcBorders>
              <w:left w:val="nil"/>
              <w:bottom w:val="nil"/>
              <w:right w:val="nil"/>
            </w:tcBorders>
          </w:tcPr>
          <w:p w14:paraId="12D45C86" w14:textId="77777777" w:rsidR="004242B8" w:rsidRDefault="004242B8" w:rsidP="00E469B9"/>
        </w:tc>
      </w:tr>
    </w:tbl>
    <w:p w14:paraId="68162406" w14:textId="77777777" w:rsidR="00682856" w:rsidRPr="00E612D3" w:rsidRDefault="00682856" w:rsidP="00E612D3"/>
    <w:sectPr w:rsidR="00682856" w:rsidRPr="00E612D3" w:rsidSect="0022432E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4D53E" w14:textId="77777777" w:rsidR="0022432E" w:rsidRDefault="0022432E" w:rsidP="00E612D3">
      <w:pPr>
        <w:spacing w:after="0" w:line="240" w:lineRule="auto"/>
      </w:pPr>
      <w:r>
        <w:separator/>
      </w:r>
    </w:p>
  </w:endnote>
  <w:endnote w:type="continuationSeparator" w:id="0">
    <w:p w14:paraId="1D5DDA89" w14:textId="77777777" w:rsidR="0022432E" w:rsidRDefault="0022432E" w:rsidP="00E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9932" w14:textId="3C71EF20" w:rsidR="00E612D3" w:rsidRDefault="00E612D3" w:rsidP="00E612D3">
    <w:pPr>
      <w:pStyle w:val="Footer"/>
      <w:jc w:val="right"/>
    </w:pPr>
    <w:r>
      <w:t>Copyright Emile Education – www.emile-education.om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2147" w14:textId="77777777" w:rsidR="0022432E" w:rsidRDefault="0022432E" w:rsidP="00E612D3">
      <w:pPr>
        <w:spacing w:after="0" w:line="240" w:lineRule="auto"/>
      </w:pPr>
      <w:r>
        <w:separator/>
      </w:r>
    </w:p>
  </w:footnote>
  <w:footnote w:type="continuationSeparator" w:id="0">
    <w:p w14:paraId="570CBD76" w14:textId="77777777" w:rsidR="0022432E" w:rsidRDefault="0022432E" w:rsidP="00E6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54AB" w14:textId="50C82FD1" w:rsidR="00E612D3" w:rsidRPr="00B1024B" w:rsidRDefault="00D862BD" w:rsidP="00B1024B">
    <w:pPr>
      <w:jc w:val="right"/>
      <w:rPr>
        <w:rFonts w:cs="Andika"/>
        <w:sz w:val="20"/>
        <w:szCs w:val="20"/>
      </w:rPr>
    </w:pPr>
    <w:r>
      <w:t xml:space="preserve">Term </w:t>
    </w:r>
    <w:r w:rsidR="00173FFE">
      <w:t>1</w:t>
    </w:r>
    <w:r w:rsidR="007D45EC">
      <w:t>A</w:t>
    </w:r>
    <w:r>
      <w:t xml:space="preserve"> – </w:t>
    </w:r>
    <w:r w:rsidR="00B07AAD">
      <w:t>5</w:t>
    </w:r>
    <w:r w:rsidR="00E612D3">
      <w:t xml:space="preserve"> </w:t>
    </w:r>
    <w:r w:rsidR="008958B7">
      <w:t>–</w:t>
    </w:r>
    <w:r w:rsidR="00F12F4D" w:rsidRPr="00F12F4D">
      <w:t xml:space="preserve"> </w:t>
    </w:r>
    <w:r w:rsidR="00173FFE">
      <w:t xml:space="preserve">The prefix </w:t>
    </w:r>
    <w:r w:rsidR="00B07AAD">
      <w:t>inter</w:t>
    </w:r>
    <w:r w:rsidR="00F12F4D" w:rsidRPr="00F12F4D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D3"/>
    <w:rsid w:val="00003580"/>
    <w:rsid w:val="00005DC5"/>
    <w:rsid w:val="00023EC7"/>
    <w:rsid w:val="000367B9"/>
    <w:rsid w:val="00052546"/>
    <w:rsid w:val="0006138E"/>
    <w:rsid w:val="0006736F"/>
    <w:rsid w:val="00075C6C"/>
    <w:rsid w:val="00091DEA"/>
    <w:rsid w:val="000A4AFF"/>
    <w:rsid w:val="000A6A83"/>
    <w:rsid w:val="000B386F"/>
    <w:rsid w:val="000D46CC"/>
    <w:rsid w:val="00101DFC"/>
    <w:rsid w:val="0010334C"/>
    <w:rsid w:val="001139C3"/>
    <w:rsid w:val="00122C53"/>
    <w:rsid w:val="00147B20"/>
    <w:rsid w:val="0017126F"/>
    <w:rsid w:val="00173FFE"/>
    <w:rsid w:val="001751CE"/>
    <w:rsid w:val="001830E6"/>
    <w:rsid w:val="001A3673"/>
    <w:rsid w:val="001B0107"/>
    <w:rsid w:val="001C1634"/>
    <w:rsid w:val="001C3C6C"/>
    <w:rsid w:val="001C756E"/>
    <w:rsid w:val="001D4BBE"/>
    <w:rsid w:val="001D54E8"/>
    <w:rsid w:val="00203062"/>
    <w:rsid w:val="00222B58"/>
    <w:rsid w:val="0022432E"/>
    <w:rsid w:val="00226B29"/>
    <w:rsid w:val="002455C7"/>
    <w:rsid w:val="00265EB5"/>
    <w:rsid w:val="00266118"/>
    <w:rsid w:val="00266D18"/>
    <w:rsid w:val="00274DD7"/>
    <w:rsid w:val="00287263"/>
    <w:rsid w:val="00296203"/>
    <w:rsid w:val="002D264A"/>
    <w:rsid w:val="002F29B3"/>
    <w:rsid w:val="002F3729"/>
    <w:rsid w:val="00320FD7"/>
    <w:rsid w:val="00354C9F"/>
    <w:rsid w:val="0037223F"/>
    <w:rsid w:val="003728AA"/>
    <w:rsid w:val="00393813"/>
    <w:rsid w:val="003B3152"/>
    <w:rsid w:val="003C14E6"/>
    <w:rsid w:val="003C492F"/>
    <w:rsid w:val="003C5516"/>
    <w:rsid w:val="003D61D6"/>
    <w:rsid w:val="0040509F"/>
    <w:rsid w:val="0041130D"/>
    <w:rsid w:val="00412DF3"/>
    <w:rsid w:val="00415FB7"/>
    <w:rsid w:val="00422F09"/>
    <w:rsid w:val="004231A5"/>
    <w:rsid w:val="00423C57"/>
    <w:rsid w:val="004241FB"/>
    <w:rsid w:val="004242B8"/>
    <w:rsid w:val="00442BD7"/>
    <w:rsid w:val="00453A4D"/>
    <w:rsid w:val="00455D6A"/>
    <w:rsid w:val="00455E41"/>
    <w:rsid w:val="00460CB3"/>
    <w:rsid w:val="004911AA"/>
    <w:rsid w:val="00494067"/>
    <w:rsid w:val="004A157F"/>
    <w:rsid w:val="004E4F71"/>
    <w:rsid w:val="004F3C18"/>
    <w:rsid w:val="00500EB3"/>
    <w:rsid w:val="005059D3"/>
    <w:rsid w:val="00534D1C"/>
    <w:rsid w:val="00546923"/>
    <w:rsid w:val="005531F6"/>
    <w:rsid w:val="005770FA"/>
    <w:rsid w:val="005B51BC"/>
    <w:rsid w:val="005B62F6"/>
    <w:rsid w:val="005D7C3C"/>
    <w:rsid w:val="005F173F"/>
    <w:rsid w:val="006374B9"/>
    <w:rsid w:val="00640CFD"/>
    <w:rsid w:val="00646957"/>
    <w:rsid w:val="00682856"/>
    <w:rsid w:val="006867AA"/>
    <w:rsid w:val="006A05C6"/>
    <w:rsid w:val="006C1840"/>
    <w:rsid w:val="0070502E"/>
    <w:rsid w:val="00713EC4"/>
    <w:rsid w:val="007150D3"/>
    <w:rsid w:val="00722524"/>
    <w:rsid w:val="00757C5C"/>
    <w:rsid w:val="00757E56"/>
    <w:rsid w:val="00767101"/>
    <w:rsid w:val="00793E4D"/>
    <w:rsid w:val="007B17C5"/>
    <w:rsid w:val="007B5587"/>
    <w:rsid w:val="007C37F9"/>
    <w:rsid w:val="007D21B3"/>
    <w:rsid w:val="007D45EC"/>
    <w:rsid w:val="007F24B3"/>
    <w:rsid w:val="007F3297"/>
    <w:rsid w:val="008018F4"/>
    <w:rsid w:val="00816ACE"/>
    <w:rsid w:val="00882B8A"/>
    <w:rsid w:val="00887AF5"/>
    <w:rsid w:val="00892BA5"/>
    <w:rsid w:val="008958B7"/>
    <w:rsid w:val="008A7405"/>
    <w:rsid w:val="008C5800"/>
    <w:rsid w:val="008D4CAE"/>
    <w:rsid w:val="008D7E17"/>
    <w:rsid w:val="008E353B"/>
    <w:rsid w:val="008F70A5"/>
    <w:rsid w:val="0093011E"/>
    <w:rsid w:val="00935020"/>
    <w:rsid w:val="0094098D"/>
    <w:rsid w:val="00942C7A"/>
    <w:rsid w:val="0096700C"/>
    <w:rsid w:val="00967D3C"/>
    <w:rsid w:val="00982D79"/>
    <w:rsid w:val="009A4796"/>
    <w:rsid w:val="009C3CCE"/>
    <w:rsid w:val="009F683F"/>
    <w:rsid w:val="00A15B21"/>
    <w:rsid w:val="00A169E8"/>
    <w:rsid w:val="00A219CD"/>
    <w:rsid w:val="00A34218"/>
    <w:rsid w:val="00A40172"/>
    <w:rsid w:val="00A5426E"/>
    <w:rsid w:val="00A7341D"/>
    <w:rsid w:val="00A74B1C"/>
    <w:rsid w:val="00A846C1"/>
    <w:rsid w:val="00A91542"/>
    <w:rsid w:val="00A9394A"/>
    <w:rsid w:val="00AA34BF"/>
    <w:rsid w:val="00AE4D73"/>
    <w:rsid w:val="00B07AAD"/>
    <w:rsid w:val="00B1024B"/>
    <w:rsid w:val="00B17B21"/>
    <w:rsid w:val="00B26819"/>
    <w:rsid w:val="00B30DDB"/>
    <w:rsid w:val="00B5262D"/>
    <w:rsid w:val="00B553FD"/>
    <w:rsid w:val="00B70F50"/>
    <w:rsid w:val="00BA155B"/>
    <w:rsid w:val="00BC6D93"/>
    <w:rsid w:val="00BD6DDE"/>
    <w:rsid w:val="00BE2C48"/>
    <w:rsid w:val="00BF02AA"/>
    <w:rsid w:val="00BF5089"/>
    <w:rsid w:val="00C0304A"/>
    <w:rsid w:val="00C060B7"/>
    <w:rsid w:val="00C06A74"/>
    <w:rsid w:val="00C24827"/>
    <w:rsid w:val="00C24A63"/>
    <w:rsid w:val="00C24C93"/>
    <w:rsid w:val="00C33F41"/>
    <w:rsid w:val="00C355BD"/>
    <w:rsid w:val="00C36937"/>
    <w:rsid w:val="00C53D59"/>
    <w:rsid w:val="00C602BF"/>
    <w:rsid w:val="00C71EA2"/>
    <w:rsid w:val="00C822B0"/>
    <w:rsid w:val="00C90F41"/>
    <w:rsid w:val="00CA0738"/>
    <w:rsid w:val="00CB7B15"/>
    <w:rsid w:val="00CB7C39"/>
    <w:rsid w:val="00CC44BD"/>
    <w:rsid w:val="00CD64C1"/>
    <w:rsid w:val="00CE142B"/>
    <w:rsid w:val="00D10DD4"/>
    <w:rsid w:val="00D2322C"/>
    <w:rsid w:val="00D24FC9"/>
    <w:rsid w:val="00D478BC"/>
    <w:rsid w:val="00D50E05"/>
    <w:rsid w:val="00D71674"/>
    <w:rsid w:val="00D81CD8"/>
    <w:rsid w:val="00D862BD"/>
    <w:rsid w:val="00D9356F"/>
    <w:rsid w:val="00DC7FFB"/>
    <w:rsid w:val="00DD58D1"/>
    <w:rsid w:val="00DF0D84"/>
    <w:rsid w:val="00E07B6A"/>
    <w:rsid w:val="00E17248"/>
    <w:rsid w:val="00E2030A"/>
    <w:rsid w:val="00E37BE9"/>
    <w:rsid w:val="00E45E9D"/>
    <w:rsid w:val="00E469B9"/>
    <w:rsid w:val="00E612D3"/>
    <w:rsid w:val="00E64D9F"/>
    <w:rsid w:val="00E66733"/>
    <w:rsid w:val="00E71BB7"/>
    <w:rsid w:val="00E82585"/>
    <w:rsid w:val="00E96759"/>
    <w:rsid w:val="00EB1990"/>
    <w:rsid w:val="00EC5BFD"/>
    <w:rsid w:val="00EF65F8"/>
    <w:rsid w:val="00F0154E"/>
    <w:rsid w:val="00F07307"/>
    <w:rsid w:val="00F1149F"/>
    <w:rsid w:val="00F12F4D"/>
    <w:rsid w:val="00F35635"/>
    <w:rsid w:val="00F51037"/>
    <w:rsid w:val="00F55588"/>
    <w:rsid w:val="00F62F0D"/>
    <w:rsid w:val="00F639F5"/>
    <w:rsid w:val="00F67037"/>
    <w:rsid w:val="00F6796B"/>
    <w:rsid w:val="00F72A44"/>
    <w:rsid w:val="00F776B7"/>
    <w:rsid w:val="00F9117D"/>
    <w:rsid w:val="00F97A2A"/>
    <w:rsid w:val="00FA3695"/>
    <w:rsid w:val="00FB0E7E"/>
    <w:rsid w:val="00FB1171"/>
    <w:rsid w:val="00FB14A4"/>
    <w:rsid w:val="00FB360D"/>
    <w:rsid w:val="00FB5DF5"/>
    <w:rsid w:val="00FD50BD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16843F"/>
  <w15:chartTrackingRefBased/>
  <w15:docId w15:val="{5DBC121B-4C4B-436D-AA26-A0ECD246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2D3"/>
  </w:style>
  <w:style w:type="paragraph" w:styleId="Heading1">
    <w:name w:val="heading 1"/>
    <w:basedOn w:val="Normal"/>
    <w:next w:val="Normal"/>
    <w:link w:val="Heading1Char"/>
    <w:uiPriority w:val="9"/>
    <w:qFormat/>
    <w:rsid w:val="00E612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2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2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12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12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12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12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2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2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12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12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2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12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12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12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12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2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2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12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12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12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12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12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12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12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12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12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12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12D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2D3"/>
  </w:style>
  <w:style w:type="paragraph" w:styleId="Footer">
    <w:name w:val="footer"/>
    <w:basedOn w:val="Normal"/>
    <w:link w:val="FooterChar"/>
    <w:uiPriority w:val="99"/>
    <w:unhideWhenUsed/>
    <w:rsid w:val="00E612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2D3"/>
  </w:style>
  <w:style w:type="table" w:styleId="TableGrid">
    <w:name w:val="Table Grid"/>
    <w:basedOn w:val="TableNormal"/>
    <w:uiPriority w:val="39"/>
    <w:rsid w:val="00682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4</cp:revision>
  <dcterms:created xsi:type="dcterms:W3CDTF">2024-01-31T14:19:00Z</dcterms:created>
  <dcterms:modified xsi:type="dcterms:W3CDTF">2024-01-31T14:21:00Z</dcterms:modified>
</cp:coreProperties>
</file>